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DE2A7A">
      <w:r>
        <w:t xml:space="preserve">Na filmie widać zaparkowany samochód, a następnie wyświetlają się zdjęcia zatrzymanych osób. Następnie widać rozebrane auta stojące w garażu oraz są one wciągane na </w:t>
      </w:r>
      <w:proofErr w:type="spellStart"/>
      <w:r>
        <w:t>autolawety</w:t>
      </w:r>
      <w:proofErr w:type="spellEnd"/>
      <w:r>
        <w:t>. W kolejnych ujęciach widać policjanta wykonującego czynności przy zabezpieczonych elementach pojazdów, a następnie zatrzymani są prowadzeni przez policjantów.</w:t>
      </w:r>
      <w:bookmarkStart w:id="0" w:name="_GoBack"/>
      <w:bookmarkEnd w:id="0"/>
      <w:r>
        <w:t xml:space="preserve">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7A"/>
    <w:rsid w:val="000D68FD"/>
    <w:rsid w:val="00A04924"/>
    <w:rsid w:val="00D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78C0"/>
  <w15:chartTrackingRefBased/>
  <w15:docId w15:val="{16ABC6B1-5B07-4070-87A4-5F562BB3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2025-06-18T05:55:00Z</dcterms:created>
  <dcterms:modified xsi:type="dcterms:W3CDTF">2025-06-18T06:05:00Z</dcterms:modified>
</cp:coreProperties>
</file>