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CB" w:rsidRDefault="00DC2AB3" w:rsidP="00DC2AB3">
      <w:pPr>
        <w:jc w:val="both"/>
      </w:pPr>
      <w:r>
        <w:t>Film przedstawia zabezpieczone urządzenia i substancje. Wszystko znajduje się na stole. Od lewej strony widzimy dwie wagi elektroniczne, powyżej zawinięty w niebieską folię susz. Obok znajdują się dwa zawiniątka z folii aluminiowej z zawartością tego samego suszu. Następnie widzimy słoik i papierowe pudełko z zawartością narkotyków poporcjowanych w aluminiową folię. Z prawej strony znajduje się foliowy pakunek z zawartością białego proszku.</w:t>
      </w:r>
      <w:bookmarkStart w:id="0" w:name="_GoBack"/>
      <w:bookmarkEnd w:id="0"/>
    </w:p>
    <w:sectPr w:rsidR="00D5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B3"/>
    <w:rsid w:val="00D509CB"/>
    <w:rsid w:val="00D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5C288-3843-4AD5-9876-A94BBD16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Maciej Ślusarczyk</cp:lastModifiedBy>
  <cp:revision>1</cp:revision>
  <dcterms:created xsi:type="dcterms:W3CDTF">2024-01-10T09:26:00Z</dcterms:created>
  <dcterms:modified xsi:type="dcterms:W3CDTF">2024-01-10T09:31:00Z</dcterms:modified>
</cp:coreProperties>
</file>