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CF5" w:rsidRDefault="00185D12">
      <w:pPr>
        <w:spacing w:after="212" w:line="259" w:lineRule="auto"/>
        <w:ind w:left="36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077CF5" w:rsidRDefault="00185D12">
      <w:pPr>
        <w:spacing w:after="131" w:line="259" w:lineRule="auto"/>
        <w:jc w:val="center"/>
      </w:pPr>
      <w:r>
        <w:rPr>
          <w:b/>
          <w:sz w:val="40"/>
        </w:rPr>
        <w:t xml:space="preserve">Chorowałeś na </w:t>
      </w:r>
      <w:proofErr w:type="spellStart"/>
      <w:r>
        <w:rPr>
          <w:b/>
          <w:sz w:val="40"/>
        </w:rPr>
        <w:t>koronawirusa</w:t>
      </w:r>
      <w:proofErr w:type="spellEnd"/>
      <w:r>
        <w:rPr>
          <w:b/>
          <w:sz w:val="40"/>
        </w:rPr>
        <w:t xml:space="preserve"> i wyzdrowiałeś?</w:t>
      </w:r>
      <w:r>
        <w:rPr>
          <w:sz w:val="22"/>
        </w:rPr>
        <w:t xml:space="preserve"> </w:t>
      </w:r>
    </w:p>
    <w:p w:rsidR="00077CF5" w:rsidRDefault="00185D12">
      <w:pPr>
        <w:spacing w:after="413"/>
      </w:pPr>
      <w:bookmarkStart w:id="0" w:name="_GoBack"/>
      <w:bookmarkEnd w:id="0"/>
      <w:r>
        <w:t xml:space="preserve">Twoje osocze zawiera przeciwciała, które mogą wspomagać leczenie chorych na COVID-19 z ciężkimi, zagrażającymi życiu objawami zakażenia. Oddaj osocze w Regionalnym Centrum Krwiodawstwa i Krwiolecznictwa </w:t>
      </w:r>
      <w:r>
        <w:t>w Kielcach uratuj zdrowie i życie drugiemu człowiekowi!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077CF5" w:rsidRDefault="00185D12">
      <w:pPr>
        <w:spacing w:after="131" w:line="259" w:lineRule="auto"/>
        <w:jc w:val="center"/>
      </w:pPr>
      <w:r>
        <w:rPr>
          <w:b/>
          <w:sz w:val="40"/>
        </w:rPr>
        <w:t>Kto może oddać osocze?</w:t>
      </w:r>
      <w:r>
        <w:rPr>
          <w:sz w:val="22"/>
        </w:rPr>
        <w:t xml:space="preserve"> </w:t>
      </w:r>
    </w:p>
    <w:p w:rsidR="00077CF5" w:rsidRDefault="00185D12">
      <w:pPr>
        <w:spacing w:after="218" w:line="259" w:lineRule="auto"/>
        <w:ind w:left="2660"/>
        <w:jc w:val="left"/>
      </w:pPr>
      <w:r>
        <w:rPr>
          <w:b/>
          <w:sz w:val="28"/>
        </w:rPr>
        <w:t>Osocze może zostać pobrane od osób, które:</w:t>
      </w:r>
      <w:r>
        <w:rPr>
          <w:sz w:val="22"/>
        </w:rPr>
        <w:t xml:space="preserve"> </w:t>
      </w:r>
    </w:p>
    <w:p w:rsidR="00077CF5" w:rsidRDefault="00185D12">
      <w:pPr>
        <w:numPr>
          <w:ilvl w:val="0"/>
          <w:numId w:val="1"/>
        </w:numPr>
        <w:spacing w:after="243" w:line="273" w:lineRule="auto"/>
        <w:ind w:hanging="360"/>
      </w:pPr>
      <w:r>
        <w:rPr>
          <w:b/>
        </w:rPr>
        <w:t>są po zakażeniu SARS-CoV-2, po wyzdrowieniu z potwierdzonego COVID-19, u których minął okres co najmniej 14 dni od zakończenia izo</w:t>
      </w:r>
      <w:r>
        <w:rPr>
          <w:b/>
        </w:rPr>
        <w:t>lacji</w:t>
      </w:r>
      <w:r>
        <w:t xml:space="preserve"> </w:t>
      </w:r>
    </w:p>
    <w:p w:rsidR="00077CF5" w:rsidRDefault="00185D12">
      <w:pPr>
        <w:spacing w:after="292" w:line="259" w:lineRule="auto"/>
        <w:ind w:left="359" w:firstLine="0"/>
        <w:jc w:val="center"/>
      </w:pPr>
      <w:r>
        <w:rPr>
          <w:b/>
        </w:rPr>
        <w:t>lub</w:t>
      </w:r>
      <w:r>
        <w:t xml:space="preserve"> </w:t>
      </w:r>
    </w:p>
    <w:p w:rsidR="00077CF5" w:rsidRDefault="00185D12">
      <w:pPr>
        <w:numPr>
          <w:ilvl w:val="0"/>
          <w:numId w:val="1"/>
        </w:numPr>
        <w:spacing w:after="4" w:line="273" w:lineRule="auto"/>
        <w:ind w:hanging="360"/>
      </w:pPr>
      <w:r>
        <w:rPr>
          <w:b/>
        </w:rPr>
        <w:t>u których stwierdzono przeciwciała anty-SARS-CoV-2 i nigdy nie miały objawów COVID-19, u których minął okres co najmniej 14 dni od dodatniego wyniku na obecność przeciwciał,</w:t>
      </w:r>
      <w:r>
        <w:t xml:space="preserve"> </w:t>
      </w:r>
    </w:p>
    <w:p w:rsidR="00077CF5" w:rsidRDefault="00185D12">
      <w:pPr>
        <w:numPr>
          <w:ilvl w:val="0"/>
          <w:numId w:val="1"/>
        </w:numPr>
        <w:ind w:hanging="360"/>
      </w:pPr>
      <w:r>
        <w:t xml:space="preserve">są w pełni zdrowe, </w:t>
      </w:r>
    </w:p>
    <w:p w:rsidR="00077CF5" w:rsidRDefault="00185D12">
      <w:pPr>
        <w:numPr>
          <w:ilvl w:val="0"/>
          <w:numId w:val="1"/>
        </w:numPr>
        <w:ind w:hanging="360"/>
      </w:pPr>
      <w:r>
        <w:t>są w wieku 18-65 lat (dawcy pierwszorazowi w wiek</w:t>
      </w:r>
      <w:r>
        <w:t xml:space="preserve">u 60-65 lat mogą oddać osocze tylko za zgodą lekarza!), </w:t>
      </w:r>
    </w:p>
    <w:p w:rsidR="00077CF5" w:rsidRDefault="00185D12">
      <w:pPr>
        <w:numPr>
          <w:ilvl w:val="0"/>
          <w:numId w:val="1"/>
        </w:numPr>
        <w:ind w:hanging="360"/>
      </w:pPr>
      <w:r>
        <w:t xml:space="preserve">nie mają i nie leczą się z powodu przewlekłych chorób, </w:t>
      </w:r>
    </w:p>
    <w:p w:rsidR="00077CF5" w:rsidRDefault="00185D12">
      <w:pPr>
        <w:numPr>
          <w:ilvl w:val="0"/>
          <w:numId w:val="1"/>
        </w:numPr>
        <w:spacing w:after="334"/>
        <w:ind w:hanging="360"/>
      </w:pPr>
      <w:r>
        <w:t xml:space="preserve">spełniają wymagania stawiane wszystkim potencjalnym dawcom krwi i osocza. </w:t>
      </w:r>
    </w:p>
    <w:p w:rsidR="00077CF5" w:rsidRDefault="00185D12">
      <w:pPr>
        <w:spacing w:after="299" w:line="259" w:lineRule="auto"/>
        <w:ind w:left="1369"/>
        <w:jc w:val="left"/>
      </w:pPr>
      <w:r>
        <w:rPr>
          <w:b/>
          <w:sz w:val="28"/>
        </w:rPr>
        <w:t>Kobiety, które kiedykolwiek były w ciąży lub osoby po transfuzji:</w:t>
      </w:r>
      <w:r>
        <w:rPr>
          <w:sz w:val="22"/>
        </w:rPr>
        <w:t xml:space="preserve"> </w:t>
      </w:r>
    </w:p>
    <w:p w:rsidR="00077CF5" w:rsidRDefault="00185D12">
      <w:pPr>
        <w:spacing w:after="218" w:line="259" w:lineRule="auto"/>
        <w:ind w:left="552"/>
        <w:jc w:val="left"/>
      </w:pPr>
      <w:r>
        <w:rPr>
          <w:b/>
          <w:sz w:val="28"/>
        </w:rPr>
        <w:t xml:space="preserve">- większość wytworzyła przeciwciała anty-HLA i nie może być dawcą osocza. </w:t>
      </w:r>
    </w:p>
    <w:p w:rsidR="00077CF5" w:rsidRDefault="00185D12">
      <w:r>
        <w:t>Pozyskanie osocza od kobiet, które były w ciąży lub zostały matkami wymaga wykonania dodatkowych badań w kierunku obecności przeciwciał anty-HLA. Są to przeciwciała, które mogą wyt</w:t>
      </w:r>
      <w:r>
        <w:t>worzyć się po ciąży. Badanie jest wykonywane w Instytucie Hematologii i Transfuzjologii w Warszawie. Okres oczekiwania na wynik jest różny, ale nie dyskwalifikuje, tylko po prostu wydłuża czas, który upływa do momentu możliwości wydania osocza do leczenia.</w:t>
      </w:r>
      <w:r>
        <w:t xml:space="preserve"> Dlatego też preferowane są osoby, które nie miały transfuzji krwi i kobiety, które nie były w ciąży. Bardzo ważne jest, aby osocze ozdrowieńca miało wysoki poziom przeciwciał po przechorowaniu COVID-19 (ale nie są to przeciwciała anty-HLA). Jednak pomimo </w:t>
      </w:r>
      <w:r>
        <w:t>wysokiego poziomu przeciwciał anty-SARS-CoV-2 po przebytej chorobie, obecność przeciwciał anty-HLA całkowicie dyskwalifikuje osocze do podania go choremu. Z naszych obserwacji wynika, że większość kobiet, które były w ciąży, wytworzyła przeciwciała anty-HL</w:t>
      </w:r>
      <w:r>
        <w:t xml:space="preserve">A. </w:t>
      </w:r>
    </w:p>
    <w:p w:rsidR="00077CF5" w:rsidRDefault="00185D12">
      <w:pPr>
        <w:spacing w:after="301"/>
      </w:pPr>
      <w:r>
        <w:t xml:space="preserve"> W wyjątkowych przypadkach u kobiet, które były w ciąży i miały ciężki przebieg zakażenia COVID-19 pobieramy próbkę na badanie przeciwciał anty-HLA, wysyłamy ją do Warszawy, a po otrzymaniu informacji o nieobecności przeciwciał anty-HLA kontaktujemy si</w:t>
      </w:r>
      <w:r>
        <w:t xml:space="preserve">ę z dawczynią i dopiero wtedy umawiamy się na termin oddania osocza. </w:t>
      </w:r>
    </w:p>
    <w:p w:rsidR="00077CF5" w:rsidRDefault="00185D12">
      <w:pPr>
        <w:spacing w:after="250" w:line="262" w:lineRule="auto"/>
        <w:ind w:left="379"/>
        <w:jc w:val="center"/>
      </w:pPr>
      <w:r>
        <w:rPr>
          <w:b/>
          <w:sz w:val="28"/>
        </w:rPr>
        <w:lastRenderedPageBreak/>
        <w:t>Osocze można oddać tylko w Regionalnym Centrum Krwiodawstwa i Krwiolecznictwa w Kielcach przy ul. Jagiellońskiej 66 od poniedziałku do piątku. Godziny rejestracji dawców osocza:</w:t>
      </w:r>
      <w:r>
        <w:rPr>
          <w:sz w:val="22"/>
        </w:rPr>
        <w:t xml:space="preserve"> </w:t>
      </w:r>
    </w:p>
    <w:p w:rsidR="00077CF5" w:rsidRDefault="00185D12">
      <w:pPr>
        <w:spacing w:after="0" w:line="262" w:lineRule="auto"/>
        <w:ind w:left="379" w:right="11"/>
        <w:jc w:val="center"/>
      </w:pPr>
      <w:r>
        <w:rPr>
          <w:b/>
          <w:sz w:val="28"/>
        </w:rPr>
        <w:t>od poni</w:t>
      </w:r>
      <w:r>
        <w:rPr>
          <w:b/>
          <w:sz w:val="28"/>
        </w:rPr>
        <w:t>edziałku do piątku</w:t>
      </w:r>
      <w:r>
        <w:rPr>
          <w:sz w:val="22"/>
        </w:rPr>
        <w:t xml:space="preserve"> </w:t>
      </w:r>
    </w:p>
    <w:p w:rsidR="00077CF5" w:rsidRDefault="00185D12">
      <w:pPr>
        <w:spacing w:after="0" w:line="262" w:lineRule="auto"/>
        <w:ind w:left="379" w:right="15"/>
        <w:jc w:val="center"/>
      </w:pPr>
      <w:r>
        <w:rPr>
          <w:b/>
          <w:sz w:val="28"/>
        </w:rPr>
        <w:t>w godzinach od 7:00 do 13:00.</w:t>
      </w:r>
      <w:r>
        <w:rPr>
          <w:sz w:val="22"/>
        </w:rPr>
        <w:t xml:space="preserve"> </w:t>
      </w:r>
    </w:p>
    <w:p w:rsidR="00077CF5" w:rsidRDefault="00185D12">
      <w:pPr>
        <w:spacing w:after="252" w:line="259" w:lineRule="auto"/>
        <w:ind w:left="2233"/>
        <w:jc w:val="left"/>
      </w:pPr>
      <w:r>
        <w:rPr>
          <w:b/>
          <w:sz w:val="28"/>
        </w:rPr>
        <w:t>W razie pytań prosimy o kontakt pod numerami tel.:</w:t>
      </w:r>
      <w:r>
        <w:rPr>
          <w:sz w:val="22"/>
        </w:rPr>
        <w:t xml:space="preserve"> </w:t>
      </w:r>
    </w:p>
    <w:p w:rsidR="00077CF5" w:rsidRDefault="00185D12">
      <w:pPr>
        <w:spacing w:after="251" w:line="262" w:lineRule="auto"/>
        <w:ind w:left="379" w:right="7"/>
        <w:jc w:val="center"/>
      </w:pPr>
      <w:r>
        <w:rPr>
          <w:b/>
          <w:sz w:val="28"/>
        </w:rPr>
        <w:t>41 335-94-01 lub 41 335-94-40</w:t>
      </w:r>
      <w:r>
        <w:rPr>
          <w:sz w:val="22"/>
        </w:rPr>
        <w:t xml:space="preserve"> </w:t>
      </w:r>
    </w:p>
    <w:p w:rsidR="00077CF5" w:rsidRDefault="00185D12">
      <w:pPr>
        <w:spacing w:after="115" w:line="259" w:lineRule="auto"/>
        <w:ind w:left="2264" w:firstLine="0"/>
        <w:jc w:val="left"/>
      </w:pPr>
      <w:r>
        <w:rPr>
          <w:b/>
          <w:sz w:val="28"/>
        </w:rPr>
        <w:t>lub poprzez e-mail:</w:t>
      </w:r>
      <w:r>
        <w:rPr>
          <w:sz w:val="22"/>
        </w:rPr>
        <w:t xml:space="preserve"> </w:t>
      </w:r>
      <w:r>
        <w:rPr>
          <w:b/>
          <w:sz w:val="28"/>
          <w:u w:val="single" w:color="262626"/>
        </w:rPr>
        <w:t>sekretariat@rckik-kielce.com.pl</w:t>
      </w:r>
      <w:r>
        <w:rPr>
          <w:sz w:val="22"/>
        </w:rPr>
        <w:t xml:space="preserve"> </w:t>
      </w:r>
    </w:p>
    <w:p w:rsidR="00077CF5" w:rsidRDefault="00185D12">
      <w:pPr>
        <w:spacing w:after="0" w:line="259" w:lineRule="auto"/>
        <w:ind w:left="360" w:firstLine="0"/>
        <w:jc w:val="left"/>
      </w:pPr>
      <w:r>
        <w:rPr>
          <w:rFonts w:ascii="Calibri" w:eastAsia="Calibri" w:hAnsi="Calibri" w:cs="Calibri"/>
          <w:color w:val="000000"/>
          <w:sz w:val="14"/>
        </w:rPr>
        <w:t xml:space="preserve">Data utworzenia: 2 marca 2021r. </w:t>
      </w:r>
    </w:p>
    <w:sectPr w:rsidR="00077CF5">
      <w:pgSz w:w="11906" w:h="16838"/>
      <w:pgMar w:top="1440" w:right="592" w:bottom="1440" w:left="34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00F84"/>
    <w:multiLevelType w:val="hybridMultilevel"/>
    <w:tmpl w:val="D17AC1EC"/>
    <w:lvl w:ilvl="0" w:tplc="30D4928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BE2A6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3A5B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E675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501D4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A810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A60B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FCCDB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C805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F5"/>
    <w:rsid w:val="00077CF5"/>
    <w:rsid w:val="0018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8E7C"/>
  <w15:docId w15:val="{1BB604A1-7C56-450F-A77D-CFBF14DF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7" w:line="251" w:lineRule="auto"/>
      <w:ind w:left="370" w:hanging="10"/>
      <w:jc w:val="both"/>
    </w:pPr>
    <w:rPr>
      <w:rFonts w:ascii="Arial" w:eastAsia="Arial" w:hAnsi="Arial" w:cs="Arial"/>
      <w:color w:val="262626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Olgierd</dc:creator>
  <cp:keywords/>
  <cp:lastModifiedBy>Damian Janus</cp:lastModifiedBy>
  <cp:revision>2</cp:revision>
  <dcterms:created xsi:type="dcterms:W3CDTF">2021-03-18T07:15:00Z</dcterms:created>
  <dcterms:modified xsi:type="dcterms:W3CDTF">2021-03-18T07:15:00Z</dcterms:modified>
</cp:coreProperties>
</file>